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07" w:rsidRPr="00991807" w:rsidRDefault="00991807" w:rsidP="00991807">
      <w:pPr>
        <w:spacing w:after="0" w:line="240" w:lineRule="auto"/>
        <w:rPr>
          <w:rFonts w:ascii="Titillium Web" w:eastAsia="Times New Roman" w:hAnsi="Titillium Web" w:cs="Times New Roman"/>
          <w:spacing w:val="14"/>
          <w:sz w:val="20"/>
          <w:szCs w:val="20"/>
          <w:lang w:val="en-GB" w:eastAsia="nl-BE"/>
        </w:rPr>
      </w:pPr>
      <w:r w:rsidRPr="00991807">
        <w:rPr>
          <w:rFonts w:ascii="Titillium Web" w:eastAsia="Times New Roman" w:hAnsi="Titillium Web" w:cs="Times New Roman"/>
          <w:spacing w:val="14"/>
          <w:sz w:val="20"/>
          <w:szCs w:val="20"/>
          <w:lang w:val="en-GB" w:eastAsia="nl-BE"/>
        </w:rPr>
        <w:t>Description</w:t>
      </w:r>
    </w:p>
    <w:p w:rsidR="00991807" w:rsidRPr="00991807" w:rsidRDefault="00991807" w:rsidP="00991807">
      <w:pPr>
        <w:spacing w:after="0" w:line="240" w:lineRule="auto"/>
        <w:rPr>
          <w:rFonts w:ascii="Titillium Web" w:eastAsia="Times New Roman" w:hAnsi="Titillium Web" w:cs="Times New Roman"/>
          <w:spacing w:val="14"/>
          <w:sz w:val="20"/>
          <w:szCs w:val="20"/>
          <w:lang w:val="en-GB" w:eastAsia="nl-BE"/>
        </w:rPr>
      </w:pPr>
      <w:r w:rsidRPr="00991807">
        <w:rPr>
          <w:rFonts w:ascii="Titillium Web" w:eastAsia="Times New Roman" w:hAnsi="Titillium Web" w:cs="Times New Roman"/>
          <w:spacing w:val="14"/>
          <w:sz w:val="20"/>
          <w:szCs w:val="20"/>
          <w:lang w:val="en-GB" w:eastAsia="nl-BE"/>
        </w:rPr>
        <w:t>Polar Hat Solid Dark Navy - BUFF® Professional Collection: Ideal for jobs in extreme cold conditions and cold weather environments. · Perfect to be protected from extreme cold maintaining body temperature while performing static activities. · Suitable to be used under a helmet.</w:t>
      </w:r>
    </w:p>
    <w:p w:rsidR="00991807" w:rsidRPr="00991807" w:rsidRDefault="00991807" w:rsidP="00991807">
      <w:pPr>
        <w:spacing w:after="0" w:line="240" w:lineRule="auto"/>
        <w:rPr>
          <w:rFonts w:ascii="Titillium Web" w:eastAsia="Times New Roman" w:hAnsi="Titillium Web" w:cs="Times New Roman"/>
          <w:spacing w:val="14"/>
          <w:sz w:val="20"/>
          <w:szCs w:val="20"/>
          <w:lang w:val="en-GB" w:eastAsia="nl-BE"/>
        </w:rPr>
      </w:pPr>
      <w:r w:rsidRPr="00991807">
        <w:rPr>
          <w:rFonts w:ascii="Titillium Web" w:eastAsia="Times New Roman" w:hAnsi="Titillium Web" w:cs="Times New Roman"/>
          <w:spacing w:val="14"/>
          <w:sz w:val="20"/>
          <w:szCs w:val="20"/>
          <w:lang w:val="en-GB" w:eastAsia="nl-BE"/>
        </w:rPr>
        <w:t>Features</w:t>
      </w:r>
    </w:p>
    <w:p w:rsidR="00991807" w:rsidRPr="00991807" w:rsidRDefault="00991807" w:rsidP="00991807">
      <w:pPr>
        <w:spacing w:after="0" w:line="240" w:lineRule="auto"/>
        <w:rPr>
          <w:rFonts w:ascii="Titillium Web" w:eastAsia="Times New Roman" w:hAnsi="Titillium Web" w:cs="Times New Roman"/>
          <w:spacing w:val="14"/>
          <w:sz w:val="20"/>
          <w:szCs w:val="20"/>
          <w:lang w:val="en-GB" w:eastAsia="nl-BE"/>
        </w:rPr>
      </w:pPr>
      <w:r w:rsidRPr="00991807">
        <w:rPr>
          <w:rFonts w:ascii="Titillium Web" w:eastAsia="Times New Roman" w:hAnsi="Titillium Web" w:cs="Times New Roman"/>
          <w:spacing w:val="14"/>
          <w:sz w:val="20"/>
          <w:lang w:val="en-GB" w:eastAsia="nl-BE"/>
        </w:rPr>
        <w:t xml:space="preserve">Warm </w:t>
      </w:r>
      <w:proofErr w:type="spellStart"/>
      <w:r w:rsidRPr="00991807">
        <w:rPr>
          <w:rFonts w:ascii="Titillium Web" w:eastAsia="Times New Roman" w:hAnsi="Titillium Web" w:cs="Times New Roman"/>
          <w:spacing w:val="14"/>
          <w:sz w:val="20"/>
          <w:lang w:val="en-GB" w:eastAsia="nl-BE"/>
        </w:rPr>
        <w:t>flece</w:t>
      </w:r>
      <w:proofErr w:type="spellEnd"/>
      <w:r w:rsidRPr="00991807">
        <w:rPr>
          <w:rFonts w:ascii="Titillium Web" w:eastAsia="Times New Roman" w:hAnsi="Titillium Web" w:cs="Times New Roman"/>
          <w:spacing w:val="14"/>
          <w:sz w:val="20"/>
          <w:lang w:val="en-GB" w:eastAsia="nl-BE"/>
        </w:rPr>
        <w:t xml:space="preserve"> fabric provides warmth with an extremely soft and gentle feeling. Designed for protection and comfort.</w:t>
      </w:r>
      <w:r w:rsidRPr="00991807">
        <w:rPr>
          <w:rFonts w:ascii="Titillium Web" w:eastAsia="Times New Roman" w:hAnsi="Titillium Web" w:cs="Times New Roman"/>
          <w:spacing w:val="14"/>
          <w:sz w:val="20"/>
          <w:szCs w:val="20"/>
          <w:lang w:val="en-GB" w:eastAsia="nl-BE"/>
        </w:rPr>
        <w:t xml:space="preserve"> </w:t>
      </w:r>
    </w:p>
    <w:p w:rsidR="00991807" w:rsidRPr="00991807" w:rsidRDefault="00991807" w:rsidP="00991807">
      <w:pPr>
        <w:spacing w:after="0" w:line="240" w:lineRule="auto"/>
        <w:rPr>
          <w:rFonts w:ascii="Titillium Web" w:eastAsia="Times New Roman" w:hAnsi="Titillium Web" w:cs="Times New Roman"/>
          <w:spacing w:val="14"/>
          <w:sz w:val="20"/>
          <w:szCs w:val="20"/>
          <w:lang w:val="en-GB" w:eastAsia="nl-BE"/>
        </w:rPr>
      </w:pPr>
      <w:r w:rsidRPr="00991807">
        <w:rPr>
          <w:rFonts w:ascii="Titillium Web" w:eastAsia="Times New Roman" w:hAnsi="Titillium Web" w:cs="Times New Roman"/>
          <w:spacing w:val="14"/>
          <w:sz w:val="20"/>
          <w:lang w:val="en-GB" w:eastAsia="nl-BE"/>
        </w:rPr>
        <w:t>Made using recycled materials. Do more Now and help creating a better world to enjoy.</w:t>
      </w:r>
      <w:r w:rsidRPr="00991807">
        <w:rPr>
          <w:rFonts w:ascii="Titillium Web" w:eastAsia="Times New Roman" w:hAnsi="Titillium Web" w:cs="Times New Roman"/>
          <w:spacing w:val="14"/>
          <w:sz w:val="20"/>
          <w:szCs w:val="20"/>
          <w:lang w:val="en-GB" w:eastAsia="nl-BE"/>
        </w:rPr>
        <w:t xml:space="preserve"> </w:t>
      </w:r>
    </w:p>
    <w:p w:rsidR="00991807" w:rsidRPr="00991807" w:rsidRDefault="00991807" w:rsidP="00991807">
      <w:pPr>
        <w:spacing w:after="0" w:line="240" w:lineRule="auto"/>
        <w:rPr>
          <w:rFonts w:ascii="Titillium Web" w:eastAsia="Times New Roman" w:hAnsi="Titillium Web" w:cs="Times New Roman"/>
          <w:spacing w:val="14"/>
          <w:sz w:val="20"/>
          <w:szCs w:val="20"/>
          <w:lang w:val="en-GB" w:eastAsia="nl-BE"/>
        </w:rPr>
      </w:pPr>
      <w:r w:rsidRPr="00991807">
        <w:rPr>
          <w:rFonts w:ascii="Titillium Web" w:eastAsia="Times New Roman" w:hAnsi="Titillium Web" w:cs="Times New Roman"/>
          <w:spacing w:val="14"/>
          <w:sz w:val="20"/>
          <w:szCs w:val="20"/>
          <w:lang w:val="en-GB" w:eastAsia="nl-BE"/>
        </w:rPr>
        <w:t>Tech Info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7"/>
        <w:gridCol w:w="1792"/>
      </w:tblGrid>
      <w:tr w:rsidR="00991807" w:rsidRPr="00991807" w:rsidTr="00991807">
        <w:trPr>
          <w:tblCellSpacing w:w="15" w:type="dxa"/>
        </w:trPr>
        <w:tc>
          <w:tcPr>
            <w:tcW w:w="0" w:type="auto"/>
            <w:tcMar>
              <w:top w:w="245" w:type="dxa"/>
              <w:left w:w="0" w:type="dxa"/>
              <w:bottom w:w="95" w:type="dxa"/>
              <w:right w:w="0" w:type="dxa"/>
            </w:tcMar>
            <w:vAlign w:val="center"/>
            <w:hideMark/>
          </w:tcPr>
          <w:p w:rsidR="00991807" w:rsidRPr="00991807" w:rsidRDefault="00991807" w:rsidP="00991807">
            <w:pPr>
              <w:spacing w:after="272" w:line="240" w:lineRule="auto"/>
              <w:jc w:val="center"/>
              <w:rPr>
                <w:rFonts w:ascii="Titillium Web" w:eastAsia="Times New Roman" w:hAnsi="Titillium Web" w:cs="Times New Roman"/>
                <w:b/>
                <w:bCs/>
                <w:spacing w:val="14"/>
                <w:sz w:val="20"/>
                <w:szCs w:val="20"/>
                <w:lang w:eastAsia="nl-BE"/>
              </w:rPr>
            </w:pPr>
            <w:proofErr w:type="spellStart"/>
            <w:r w:rsidRPr="00991807">
              <w:rPr>
                <w:rFonts w:ascii="Titillium Web" w:eastAsia="Times New Roman" w:hAnsi="Titillium Web" w:cs="Times New Roman"/>
                <w:b/>
                <w:bCs/>
                <w:spacing w:val="14"/>
                <w:sz w:val="20"/>
                <w:szCs w:val="20"/>
                <w:lang w:eastAsia="nl-BE"/>
              </w:rPr>
              <w:t>Size</w:t>
            </w:r>
            <w:proofErr w:type="spellEnd"/>
            <w:r w:rsidRPr="00991807">
              <w:rPr>
                <w:rFonts w:ascii="Titillium Web" w:eastAsia="Times New Roman" w:hAnsi="Titillium Web" w:cs="Times New Roman"/>
                <w:b/>
                <w:bCs/>
                <w:spacing w:val="14"/>
                <w:sz w:val="20"/>
                <w:szCs w:val="20"/>
                <w:lang w:eastAsia="nl-BE"/>
              </w:rPr>
              <w:t>:</w:t>
            </w:r>
          </w:p>
        </w:tc>
        <w:tc>
          <w:tcPr>
            <w:tcW w:w="0" w:type="auto"/>
            <w:tcMar>
              <w:top w:w="245" w:type="dxa"/>
              <w:left w:w="0" w:type="dxa"/>
              <w:bottom w:w="27" w:type="dxa"/>
              <w:right w:w="0" w:type="dxa"/>
            </w:tcMar>
            <w:vAlign w:val="center"/>
            <w:hideMark/>
          </w:tcPr>
          <w:p w:rsidR="00991807" w:rsidRPr="00991807" w:rsidRDefault="00991807" w:rsidP="00991807">
            <w:pPr>
              <w:spacing w:after="272" w:line="240" w:lineRule="auto"/>
              <w:rPr>
                <w:rFonts w:ascii="Titillium Web" w:eastAsia="Times New Roman" w:hAnsi="Titillium Web" w:cs="Times New Roman"/>
                <w:spacing w:val="14"/>
                <w:sz w:val="20"/>
                <w:szCs w:val="20"/>
                <w:lang w:eastAsia="nl-BE"/>
              </w:rPr>
            </w:pPr>
            <w:proofErr w:type="spellStart"/>
            <w:r w:rsidRPr="00991807">
              <w:rPr>
                <w:rFonts w:ascii="Titillium Web" w:eastAsia="Times New Roman" w:hAnsi="Titillium Web" w:cs="Times New Roman"/>
                <w:spacing w:val="14"/>
                <w:sz w:val="20"/>
                <w:szCs w:val="20"/>
                <w:lang w:eastAsia="nl-BE"/>
              </w:rPr>
              <w:t>Adult</w:t>
            </w:r>
            <w:proofErr w:type="spellEnd"/>
            <w:r w:rsidRPr="00991807">
              <w:rPr>
                <w:rFonts w:ascii="Titillium Web" w:eastAsia="Times New Roman" w:hAnsi="Titillium Web" w:cs="Times New Roman"/>
                <w:spacing w:val="14"/>
                <w:sz w:val="20"/>
                <w:szCs w:val="20"/>
                <w:lang w:eastAsia="nl-BE"/>
              </w:rPr>
              <w:t xml:space="preserve"> </w:t>
            </w:r>
          </w:p>
        </w:tc>
      </w:tr>
      <w:tr w:rsidR="00991807" w:rsidRPr="00991807" w:rsidTr="00991807">
        <w:trPr>
          <w:tblCellSpacing w:w="15" w:type="dxa"/>
        </w:trPr>
        <w:tc>
          <w:tcPr>
            <w:tcW w:w="0" w:type="auto"/>
            <w:tcMar>
              <w:top w:w="245" w:type="dxa"/>
              <w:left w:w="0" w:type="dxa"/>
              <w:bottom w:w="95" w:type="dxa"/>
              <w:right w:w="0" w:type="dxa"/>
            </w:tcMar>
            <w:vAlign w:val="center"/>
            <w:hideMark/>
          </w:tcPr>
          <w:p w:rsidR="00991807" w:rsidRPr="00991807" w:rsidRDefault="00991807" w:rsidP="00991807">
            <w:pPr>
              <w:spacing w:after="272" w:line="240" w:lineRule="auto"/>
              <w:jc w:val="center"/>
              <w:rPr>
                <w:rFonts w:ascii="Titillium Web" w:eastAsia="Times New Roman" w:hAnsi="Titillium Web" w:cs="Times New Roman"/>
                <w:b/>
                <w:bCs/>
                <w:spacing w:val="14"/>
                <w:sz w:val="20"/>
                <w:szCs w:val="20"/>
                <w:lang w:eastAsia="nl-BE"/>
              </w:rPr>
            </w:pPr>
            <w:r w:rsidRPr="00991807">
              <w:rPr>
                <w:rFonts w:ascii="Titillium Web" w:eastAsia="Times New Roman" w:hAnsi="Titillium Web" w:cs="Times New Roman"/>
                <w:b/>
                <w:bCs/>
                <w:spacing w:val="14"/>
                <w:sz w:val="20"/>
                <w:szCs w:val="20"/>
                <w:lang w:eastAsia="nl-BE"/>
              </w:rPr>
              <w:t>Colour:</w:t>
            </w:r>
          </w:p>
        </w:tc>
        <w:tc>
          <w:tcPr>
            <w:tcW w:w="0" w:type="auto"/>
            <w:tcMar>
              <w:top w:w="245" w:type="dxa"/>
              <w:left w:w="0" w:type="dxa"/>
              <w:bottom w:w="27" w:type="dxa"/>
              <w:right w:w="0" w:type="dxa"/>
            </w:tcMar>
            <w:vAlign w:val="center"/>
            <w:hideMark/>
          </w:tcPr>
          <w:p w:rsidR="00991807" w:rsidRPr="00991807" w:rsidRDefault="00991807" w:rsidP="00991807">
            <w:pPr>
              <w:spacing w:after="272" w:line="240" w:lineRule="auto"/>
              <w:rPr>
                <w:rFonts w:ascii="Titillium Web" w:eastAsia="Times New Roman" w:hAnsi="Titillium Web" w:cs="Times New Roman"/>
                <w:spacing w:val="14"/>
                <w:sz w:val="20"/>
                <w:szCs w:val="20"/>
                <w:lang w:eastAsia="nl-BE"/>
              </w:rPr>
            </w:pPr>
            <w:r w:rsidRPr="00991807">
              <w:rPr>
                <w:rFonts w:ascii="Titillium Web" w:eastAsia="Times New Roman" w:hAnsi="Titillium Web" w:cs="Times New Roman"/>
                <w:spacing w:val="14"/>
                <w:sz w:val="20"/>
                <w:szCs w:val="20"/>
                <w:lang w:eastAsia="nl-BE"/>
              </w:rPr>
              <w:t xml:space="preserve">Blue </w:t>
            </w:r>
          </w:p>
        </w:tc>
      </w:tr>
      <w:tr w:rsidR="00991807" w:rsidRPr="00991807" w:rsidTr="00991807">
        <w:trPr>
          <w:tblCellSpacing w:w="15" w:type="dxa"/>
        </w:trPr>
        <w:tc>
          <w:tcPr>
            <w:tcW w:w="0" w:type="auto"/>
            <w:tcMar>
              <w:top w:w="245" w:type="dxa"/>
              <w:left w:w="0" w:type="dxa"/>
              <w:bottom w:w="95" w:type="dxa"/>
              <w:right w:w="0" w:type="dxa"/>
            </w:tcMar>
            <w:vAlign w:val="center"/>
            <w:hideMark/>
          </w:tcPr>
          <w:p w:rsidR="00991807" w:rsidRPr="00991807" w:rsidRDefault="00991807" w:rsidP="00991807">
            <w:pPr>
              <w:spacing w:after="272" w:line="240" w:lineRule="auto"/>
              <w:jc w:val="center"/>
              <w:rPr>
                <w:rFonts w:ascii="Titillium Web" w:eastAsia="Times New Roman" w:hAnsi="Titillium Web" w:cs="Times New Roman"/>
                <w:b/>
                <w:bCs/>
                <w:spacing w:val="14"/>
                <w:sz w:val="20"/>
                <w:szCs w:val="20"/>
                <w:lang w:eastAsia="nl-BE"/>
              </w:rPr>
            </w:pPr>
            <w:proofErr w:type="spellStart"/>
            <w:r w:rsidRPr="00991807">
              <w:rPr>
                <w:rFonts w:ascii="Titillium Web" w:eastAsia="Times New Roman" w:hAnsi="Titillium Web" w:cs="Times New Roman"/>
                <w:b/>
                <w:bCs/>
                <w:spacing w:val="14"/>
                <w:sz w:val="20"/>
                <w:szCs w:val="20"/>
                <w:lang w:eastAsia="nl-BE"/>
              </w:rPr>
              <w:t>Measures</w:t>
            </w:r>
            <w:proofErr w:type="spellEnd"/>
            <w:r w:rsidRPr="00991807">
              <w:rPr>
                <w:rFonts w:ascii="Titillium Web" w:eastAsia="Times New Roman" w:hAnsi="Titillium Web" w:cs="Times New Roman"/>
                <w:b/>
                <w:bCs/>
                <w:spacing w:val="14"/>
                <w:sz w:val="20"/>
                <w:szCs w:val="20"/>
                <w:lang w:eastAsia="nl-BE"/>
              </w:rPr>
              <w:t>:</w:t>
            </w:r>
          </w:p>
        </w:tc>
        <w:tc>
          <w:tcPr>
            <w:tcW w:w="0" w:type="auto"/>
            <w:tcMar>
              <w:top w:w="245" w:type="dxa"/>
              <w:left w:w="0" w:type="dxa"/>
              <w:bottom w:w="27" w:type="dxa"/>
              <w:right w:w="0" w:type="dxa"/>
            </w:tcMar>
            <w:vAlign w:val="center"/>
            <w:hideMark/>
          </w:tcPr>
          <w:p w:rsidR="00991807" w:rsidRPr="00991807" w:rsidRDefault="00991807" w:rsidP="00991807">
            <w:pPr>
              <w:spacing w:after="272" w:line="240" w:lineRule="auto"/>
              <w:rPr>
                <w:rFonts w:ascii="Titillium Web" w:eastAsia="Times New Roman" w:hAnsi="Titillium Web" w:cs="Times New Roman"/>
                <w:spacing w:val="14"/>
                <w:sz w:val="20"/>
                <w:szCs w:val="20"/>
                <w:lang w:eastAsia="nl-BE"/>
              </w:rPr>
            </w:pPr>
            <w:r w:rsidRPr="00991807">
              <w:rPr>
                <w:rFonts w:ascii="Titillium Web" w:eastAsia="Times New Roman" w:hAnsi="Titillium Web" w:cs="Times New Roman"/>
                <w:spacing w:val="14"/>
                <w:sz w:val="20"/>
                <w:szCs w:val="20"/>
                <w:lang w:eastAsia="nl-BE"/>
              </w:rPr>
              <w:t xml:space="preserve">26,5X20 </w:t>
            </w:r>
          </w:p>
        </w:tc>
      </w:tr>
      <w:tr w:rsidR="00991807" w:rsidRPr="00991807" w:rsidTr="00991807">
        <w:trPr>
          <w:tblCellSpacing w:w="15" w:type="dxa"/>
        </w:trPr>
        <w:tc>
          <w:tcPr>
            <w:tcW w:w="0" w:type="auto"/>
            <w:tcMar>
              <w:top w:w="245" w:type="dxa"/>
              <w:left w:w="0" w:type="dxa"/>
              <w:bottom w:w="95" w:type="dxa"/>
              <w:right w:w="0" w:type="dxa"/>
            </w:tcMar>
            <w:vAlign w:val="center"/>
            <w:hideMark/>
          </w:tcPr>
          <w:p w:rsidR="00991807" w:rsidRPr="00991807" w:rsidRDefault="00991807" w:rsidP="00991807">
            <w:pPr>
              <w:spacing w:after="272" w:line="240" w:lineRule="auto"/>
              <w:jc w:val="center"/>
              <w:rPr>
                <w:rFonts w:ascii="Titillium Web" w:eastAsia="Times New Roman" w:hAnsi="Titillium Web" w:cs="Times New Roman"/>
                <w:b/>
                <w:bCs/>
                <w:spacing w:val="14"/>
                <w:sz w:val="20"/>
                <w:szCs w:val="20"/>
                <w:lang w:eastAsia="nl-BE"/>
              </w:rPr>
            </w:pPr>
            <w:proofErr w:type="spellStart"/>
            <w:r w:rsidRPr="00991807">
              <w:rPr>
                <w:rFonts w:ascii="Titillium Web" w:eastAsia="Times New Roman" w:hAnsi="Titillium Web" w:cs="Times New Roman"/>
                <w:b/>
                <w:bCs/>
                <w:spacing w:val="14"/>
                <w:sz w:val="20"/>
                <w:szCs w:val="20"/>
                <w:lang w:eastAsia="nl-BE"/>
              </w:rPr>
              <w:t>Composition</w:t>
            </w:r>
            <w:proofErr w:type="spellEnd"/>
            <w:r w:rsidRPr="00991807">
              <w:rPr>
                <w:rFonts w:ascii="Titillium Web" w:eastAsia="Times New Roman" w:hAnsi="Titillium Web" w:cs="Times New Roman"/>
                <w:b/>
                <w:bCs/>
                <w:spacing w:val="14"/>
                <w:sz w:val="20"/>
                <w:szCs w:val="20"/>
                <w:lang w:eastAsia="nl-BE"/>
              </w:rPr>
              <w:t>:</w:t>
            </w:r>
          </w:p>
        </w:tc>
        <w:tc>
          <w:tcPr>
            <w:tcW w:w="0" w:type="auto"/>
            <w:tcMar>
              <w:top w:w="245" w:type="dxa"/>
              <w:left w:w="0" w:type="dxa"/>
              <w:bottom w:w="27" w:type="dxa"/>
              <w:right w:w="0" w:type="dxa"/>
            </w:tcMar>
            <w:vAlign w:val="center"/>
            <w:hideMark/>
          </w:tcPr>
          <w:p w:rsidR="00991807" w:rsidRPr="00991807" w:rsidRDefault="00991807" w:rsidP="00991807">
            <w:pPr>
              <w:spacing w:after="272" w:line="240" w:lineRule="auto"/>
              <w:rPr>
                <w:rFonts w:ascii="Titillium Web" w:eastAsia="Times New Roman" w:hAnsi="Titillium Web" w:cs="Times New Roman"/>
                <w:spacing w:val="14"/>
                <w:sz w:val="20"/>
                <w:szCs w:val="20"/>
                <w:lang w:eastAsia="nl-BE"/>
              </w:rPr>
            </w:pPr>
            <w:r w:rsidRPr="00991807">
              <w:rPr>
                <w:rFonts w:ascii="Titillium Web" w:eastAsia="Times New Roman" w:hAnsi="Titillium Web" w:cs="Times New Roman"/>
                <w:spacing w:val="14"/>
                <w:sz w:val="20"/>
                <w:szCs w:val="20"/>
                <w:lang w:eastAsia="nl-BE"/>
              </w:rPr>
              <w:t xml:space="preserve">100% Polyester </w:t>
            </w:r>
          </w:p>
        </w:tc>
      </w:tr>
      <w:tr w:rsidR="00991807" w:rsidRPr="00991807" w:rsidTr="00991807">
        <w:trPr>
          <w:tblCellSpacing w:w="15" w:type="dxa"/>
        </w:trPr>
        <w:tc>
          <w:tcPr>
            <w:tcW w:w="0" w:type="auto"/>
            <w:tcMar>
              <w:top w:w="245" w:type="dxa"/>
              <w:left w:w="0" w:type="dxa"/>
              <w:bottom w:w="95" w:type="dxa"/>
              <w:right w:w="0" w:type="dxa"/>
            </w:tcMar>
            <w:vAlign w:val="center"/>
            <w:hideMark/>
          </w:tcPr>
          <w:p w:rsidR="00991807" w:rsidRPr="00991807" w:rsidRDefault="00991807" w:rsidP="00991807">
            <w:pPr>
              <w:spacing w:after="272" w:line="240" w:lineRule="auto"/>
              <w:jc w:val="center"/>
              <w:rPr>
                <w:rFonts w:ascii="Titillium Web" w:eastAsia="Times New Roman" w:hAnsi="Titillium Web" w:cs="Times New Roman"/>
                <w:b/>
                <w:bCs/>
                <w:spacing w:val="14"/>
                <w:sz w:val="20"/>
                <w:szCs w:val="20"/>
                <w:lang w:eastAsia="nl-BE"/>
              </w:rPr>
            </w:pPr>
            <w:proofErr w:type="spellStart"/>
            <w:r w:rsidRPr="00991807">
              <w:rPr>
                <w:rFonts w:ascii="Titillium Web" w:eastAsia="Times New Roman" w:hAnsi="Titillium Web" w:cs="Times New Roman"/>
                <w:b/>
                <w:bCs/>
                <w:spacing w:val="14"/>
                <w:sz w:val="20"/>
                <w:szCs w:val="20"/>
                <w:lang w:eastAsia="nl-BE"/>
              </w:rPr>
              <w:t>Season</w:t>
            </w:r>
            <w:proofErr w:type="spellEnd"/>
            <w:r w:rsidRPr="00991807">
              <w:rPr>
                <w:rFonts w:ascii="Titillium Web" w:eastAsia="Times New Roman" w:hAnsi="Titillium Web" w:cs="Times New Roman"/>
                <w:b/>
                <w:bCs/>
                <w:spacing w:val="14"/>
                <w:sz w:val="20"/>
                <w:szCs w:val="20"/>
                <w:lang w:eastAsia="nl-BE"/>
              </w:rPr>
              <w:t>:</w:t>
            </w:r>
          </w:p>
        </w:tc>
        <w:tc>
          <w:tcPr>
            <w:tcW w:w="0" w:type="auto"/>
            <w:tcMar>
              <w:top w:w="245" w:type="dxa"/>
              <w:left w:w="0" w:type="dxa"/>
              <w:bottom w:w="27" w:type="dxa"/>
              <w:right w:w="0" w:type="dxa"/>
            </w:tcMar>
            <w:vAlign w:val="center"/>
            <w:hideMark/>
          </w:tcPr>
          <w:p w:rsidR="00991807" w:rsidRPr="00991807" w:rsidRDefault="00991807" w:rsidP="00991807">
            <w:pPr>
              <w:spacing w:after="272" w:line="240" w:lineRule="auto"/>
              <w:rPr>
                <w:rFonts w:ascii="Titillium Web" w:eastAsia="Times New Roman" w:hAnsi="Titillium Web" w:cs="Times New Roman"/>
                <w:spacing w:val="14"/>
                <w:sz w:val="20"/>
                <w:szCs w:val="20"/>
                <w:lang w:eastAsia="nl-BE"/>
              </w:rPr>
            </w:pPr>
            <w:proofErr w:type="spellStart"/>
            <w:r w:rsidRPr="00991807">
              <w:rPr>
                <w:rFonts w:ascii="Titillium Web" w:eastAsia="Times New Roman" w:hAnsi="Titillium Web" w:cs="Times New Roman"/>
                <w:spacing w:val="14"/>
                <w:sz w:val="20"/>
                <w:szCs w:val="20"/>
                <w:lang w:eastAsia="nl-BE"/>
              </w:rPr>
              <w:t>Autumn</w:t>
            </w:r>
            <w:proofErr w:type="spellEnd"/>
            <w:r w:rsidRPr="00991807">
              <w:rPr>
                <w:rFonts w:ascii="Titillium Web" w:eastAsia="Times New Roman" w:hAnsi="Titillium Web" w:cs="Times New Roman"/>
                <w:spacing w:val="14"/>
                <w:sz w:val="20"/>
                <w:szCs w:val="20"/>
                <w:lang w:eastAsia="nl-BE"/>
              </w:rPr>
              <w:t xml:space="preserve">/Winter </w:t>
            </w:r>
          </w:p>
        </w:tc>
      </w:tr>
      <w:tr w:rsidR="00991807" w:rsidRPr="00991807" w:rsidTr="00991807">
        <w:trPr>
          <w:tblCellSpacing w:w="15" w:type="dxa"/>
        </w:trPr>
        <w:tc>
          <w:tcPr>
            <w:tcW w:w="0" w:type="auto"/>
            <w:tcMar>
              <w:top w:w="245" w:type="dxa"/>
              <w:left w:w="0" w:type="dxa"/>
              <w:bottom w:w="95" w:type="dxa"/>
              <w:right w:w="0" w:type="dxa"/>
            </w:tcMar>
            <w:vAlign w:val="center"/>
            <w:hideMark/>
          </w:tcPr>
          <w:p w:rsidR="00991807" w:rsidRPr="00991807" w:rsidRDefault="00991807" w:rsidP="00991807">
            <w:pPr>
              <w:spacing w:after="272" w:line="240" w:lineRule="auto"/>
              <w:jc w:val="center"/>
              <w:rPr>
                <w:rFonts w:ascii="Titillium Web" w:eastAsia="Times New Roman" w:hAnsi="Titillium Web" w:cs="Times New Roman"/>
                <w:b/>
                <w:bCs/>
                <w:spacing w:val="14"/>
                <w:sz w:val="20"/>
                <w:szCs w:val="20"/>
                <w:lang w:eastAsia="nl-BE"/>
              </w:rPr>
            </w:pPr>
            <w:proofErr w:type="spellStart"/>
            <w:r w:rsidRPr="00991807">
              <w:rPr>
                <w:rFonts w:ascii="Titillium Web" w:eastAsia="Times New Roman" w:hAnsi="Titillium Web" w:cs="Times New Roman"/>
                <w:b/>
                <w:bCs/>
                <w:spacing w:val="14"/>
                <w:sz w:val="20"/>
                <w:szCs w:val="20"/>
                <w:lang w:eastAsia="nl-BE"/>
              </w:rPr>
              <w:t>Buff</w:t>
            </w:r>
            <w:proofErr w:type="spellEnd"/>
            <w:r w:rsidRPr="00991807">
              <w:rPr>
                <w:rFonts w:ascii="Titillium Web" w:eastAsia="Times New Roman" w:hAnsi="Titillium Web" w:cs="Times New Roman"/>
                <w:b/>
                <w:bCs/>
                <w:spacing w:val="14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991807">
              <w:rPr>
                <w:rFonts w:ascii="Titillium Web" w:eastAsia="Times New Roman" w:hAnsi="Titillium Web" w:cs="Times New Roman"/>
                <w:b/>
                <w:bCs/>
                <w:spacing w:val="14"/>
                <w:sz w:val="20"/>
                <w:szCs w:val="20"/>
                <w:lang w:eastAsia="nl-BE"/>
              </w:rPr>
              <w:t>collection</w:t>
            </w:r>
            <w:proofErr w:type="spellEnd"/>
            <w:r w:rsidRPr="00991807">
              <w:rPr>
                <w:rFonts w:ascii="Titillium Web" w:eastAsia="Times New Roman" w:hAnsi="Titillium Web" w:cs="Times New Roman"/>
                <w:b/>
                <w:bCs/>
                <w:spacing w:val="14"/>
                <w:sz w:val="20"/>
                <w:szCs w:val="20"/>
                <w:lang w:eastAsia="nl-BE"/>
              </w:rPr>
              <w:t>:</w:t>
            </w:r>
          </w:p>
        </w:tc>
        <w:tc>
          <w:tcPr>
            <w:tcW w:w="0" w:type="auto"/>
            <w:tcMar>
              <w:top w:w="245" w:type="dxa"/>
              <w:left w:w="0" w:type="dxa"/>
              <w:bottom w:w="27" w:type="dxa"/>
              <w:right w:w="0" w:type="dxa"/>
            </w:tcMar>
            <w:vAlign w:val="center"/>
            <w:hideMark/>
          </w:tcPr>
          <w:p w:rsidR="00991807" w:rsidRPr="00991807" w:rsidRDefault="00991807" w:rsidP="00991807">
            <w:pPr>
              <w:spacing w:after="272" w:line="240" w:lineRule="auto"/>
              <w:rPr>
                <w:rFonts w:ascii="Titillium Web" w:eastAsia="Times New Roman" w:hAnsi="Titillium Web" w:cs="Times New Roman"/>
                <w:spacing w:val="14"/>
                <w:sz w:val="20"/>
                <w:szCs w:val="20"/>
                <w:lang w:eastAsia="nl-BE"/>
              </w:rPr>
            </w:pPr>
            <w:r w:rsidRPr="00991807">
              <w:rPr>
                <w:rFonts w:ascii="Titillium Web" w:eastAsia="Times New Roman" w:hAnsi="Titillium Web" w:cs="Times New Roman"/>
                <w:spacing w:val="14"/>
                <w:sz w:val="20"/>
                <w:szCs w:val="20"/>
                <w:lang w:eastAsia="nl-BE"/>
              </w:rPr>
              <w:t xml:space="preserve">Professional 18/19 </w:t>
            </w:r>
          </w:p>
        </w:tc>
      </w:tr>
      <w:tr w:rsidR="00991807" w:rsidRPr="00991807" w:rsidTr="00991807">
        <w:trPr>
          <w:tblCellSpacing w:w="15" w:type="dxa"/>
        </w:trPr>
        <w:tc>
          <w:tcPr>
            <w:tcW w:w="0" w:type="auto"/>
            <w:tcMar>
              <w:top w:w="245" w:type="dxa"/>
              <w:left w:w="0" w:type="dxa"/>
              <w:bottom w:w="95" w:type="dxa"/>
              <w:right w:w="0" w:type="dxa"/>
            </w:tcMar>
            <w:vAlign w:val="center"/>
            <w:hideMark/>
          </w:tcPr>
          <w:p w:rsidR="00991807" w:rsidRPr="00991807" w:rsidRDefault="00991807" w:rsidP="00991807">
            <w:pPr>
              <w:spacing w:after="272" w:line="240" w:lineRule="auto"/>
              <w:jc w:val="center"/>
              <w:rPr>
                <w:rFonts w:ascii="Titillium Web" w:eastAsia="Times New Roman" w:hAnsi="Titillium Web" w:cs="Times New Roman"/>
                <w:b/>
                <w:bCs/>
                <w:spacing w:val="14"/>
                <w:sz w:val="20"/>
                <w:szCs w:val="20"/>
                <w:lang w:eastAsia="nl-BE"/>
              </w:rPr>
            </w:pPr>
            <w:r w:rsidRPr="00991807">
              <w:rPr>
                <w:rFonts w:ascii="Titillium Web" w:eastAsia="Times New Roman" w:hAnsi="Titillium Web" w:cs="Times New Roman"/>
                <w:b/>
                <w:bCs/>
                <w:spacing w:val="14"/>
                <w:sz w:val="20"/>
                <w:szCs w:val="20"/>
                <w:lang w:eastAsia="nl-BE"/>
              </w:rPr>
              <w:t xml:space="preserve">Care </w:t>
            </w:r>
            <w:proofErr w:type="spellStart"/>
            <w:r w:rsidRPr="00991807">
              <w:rPr>
                <w:rFonts w:ascii="Titillium Web" w:eastAsia="Times New Roman" w:hAnsi="Titillium Web" w:cs="Times New Roman"/>
                <w:b/>
                <w:bCs/>
                <w:spacing w:val="14"/>
                <w:sz w:val="20"/>
                <w:szCs w:val="20"/>
                <w:lang w:eastAsia="nl-BE"/>
              </w:rPr>
              <w:t>instructions</w:t>
            </w:r>
            <w:proofErr w:type="spellEnd"/>
            <w:r w:rsidRPr="00991807">
              <w:rPr>
                <w:rFonts w:ascii="Titillium Web" w:eastAsia="Times New Roman" w:hAnsi="Titillium Web" w:cs="Times New Roman"/>
                <w:b/>
                <w:bCs/>
                <w:spacing w:val="14"/>
                <w:sz w:val="20"/>
                <w:szCs w:val="20"/>
                <w:lang w:eastAsia="nl-BE"/>
              </w:rPr>
              <w:t>:</w:t>
            </w:r>
          </w:p>
        </w:tc>
        <w:tc>
          <w:tcPr>
            <w:tcW w:w="0" w:type="auto"/>
            <w:tcMar>
              <w:top w:w="245" w:type="dxa"/>
              <w:left w:w="0" w:type="dxa"/>
              <w:bottom w:w="27" w:type="dxa"/>
              <w:right w:w="0" w:type="dxa"/>
            </w:tcMar>
            <w:vAlign w:val="center"/>
            <w:hideMark/>
          </w:tcPr>
          <w:p w:rsidR="00991807" w:rsidRPr="00991807" w:rsidRDefault="00991807" w:rsidP="00991807">
            <w:pPr>
              <w:spacing w:after="272" w:line="240" w:lineRule="auto"/>
              <w:rPr>
                <w:rFonts w:ascii="Titillium Web" w:eastAsia="Times New Roman" w:hAnsi="Titillium Web" w:cs="Times New Roman"/>
                <w:spacing w:val="14"/>
                <w:sz w:val="20"/>
                <w:szCs w:val="20"/>
                <w:lang w:eastAsia="nl-BE"/>
              </w:rPr>
            </w:pPr>
            <w:r w:rsidRPr="00991807">
              <w:rPr>
                <w:rFonts w:ascii="Titillium Web" w:eastAsia="Times New Roman" w:hAnsi="Titillium Web" w:cs="Times New Roman"/>
                <w:spacing w:val="14"/>
                <w:sz w:val="20"/>
                <w:szCs w:val="20"/>
                <w:lang w:eastAsia="nl-BE"/>
              </w:rPr>
              <w:t xml:space="preserve">Machine </w:t>
            </w:r>
            <w:proofErr w:type="spellStart"/>
            <w:r w:rsidRPr="00991807">
              <w:rPr>
                <w:rFonts w:ascii="Titillium Web" w:eastAsia="Times New Roman" w:hAnsi="Titillium Web" w:cs="Times New Roman"/>
                <w:spacing w:val="14"/>
                <w:sz w:val="20"/>
                <w:szCs w:val="20"/>
                <w:lang w:eastAsia="nl-BE"/>
              </w:rPr>
              <w:t>Wash</w:t>
            </w:r>
            <w:proofErr w:type="spellEnd"/>
            <w:r w:rsidRPr="00991807">
              <w:rPr>
                <w:rFonts w:ascii="Titillium Web" w:eastAsia="Times New Roman" w:hAnsi="Titillium Web" w:cs="Times New Roman"/>
                <w:spacing w:val="14"/>
                <w:sz w:val="20"/>
                <w:szCs w:val="20"/>
                <w:lang w:eastAsia="nl-BE"/>
              </w:rPr>
              <w:t xml:space="preserve"> </w:t>
            </w:r>
          </w:p>
        </w:tc>
      </w:tr>
    </w:tbl>
    <w:p w:rsidR="00C63AFD" w:rsidRDefault="00C63AFD"/>
    <w:sectPr w:rsidR="00C63AFD" w:rsidSect="00C63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illium We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91807"/>
    <w:rsid w:val="00991807"/>
    <w:rsid w:val="00C63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63AF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ext5">
    <w:name w:val="text5"/>
    <w:basedOn w:val="Standaardalinea-lettertype"/>
    <w:rsid w:val="00991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9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1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09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46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33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571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1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7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222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116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5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1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2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583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Elemax</dc:creator>
  <cp:lastModifiedBy>Elemax</cp:lastModifiedBy>
  <cp:revision>1</cp:revision>
  <dcterms:created xsi:type="dcterms:W3CDTF">2020-02-03T13:32:00Z</dcterms:created>
  <dcterms:modified xsi:type="dcterms:W3CDTF">2020-02-03T13:32:00Z</dcterms:modified>
</cp:coreProperties>
</file>